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7240DD" w14:paraId="19FEF71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240" w:type="dxa"/>
              <w:left w:w="360" w:type="dxa"/>
              <w:bottom w:w="240" w:type="dxa"/>
              <w:right w:w="360" w:type="dxa"/>
            </w:tcMar>
            <w:vAlign w:val="center"/>
            <w:hideMark/>
          </w:tcPr>
          <w:tbl>
            <w:tblPr>
              <w:tblW w:w="8280" w:type="dxa"/>
              <w:tblLook w:val="04A0" w:firstRow="1" w:lastRow="0" w:firstColumn="1" w:lastColumn="0" w:noHBand="0" w:noVBand="1"/>
            </w:tblPr>
            <w:tblGrid>
              <w:gridCol w:w="1733"/>
              <w:gridCol w:w="6547"/>
            </w:tblGrid>
            <w:tr w:rsidR="007240DD" w14:paraId="5B523194" w14:textId="77777777">
              <w:tc>
                <w:tcPr>
                  <w:tcW w:w="1733" w:type="dxa"/>
                  <w:tcMar>
                    <w:top w:w="0" w:type="dxa"/>
                    <w:left w:w="0" w:type="dxa"/>
                    <w:bottom w:w="120" w:type="dxa"/>
                    <w:right w:w="0" w:type="dxa"/>
                  </w:tcMar>
                  <w:vAlign w:val="center"/>
                  <w:hideMark/>
                </w:tcPr>
                <w:p w14:paraId="763A1A54" w14:textId="2FF9F5BA" w:rsidR="007240DD" w:rsidRDefault="007240DD">
                  <w:pP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</w:pPr>
                  <w:r>
                    <w:rPr>
                      <w:rStyle w:val="Hyperlink"/>
                      <w:rFonts w:ascii="Arial" w:eastAsia="Times New Roman" w:hAnsi="Arial" w:cs="Arial"/>
                      <w:noProof/>
                      <w:color w:val="65435C"/>
                      <w:sz w:val="21"/>
                      <w:szCs w:val="21"/>
                    </w:rPr>
                    <w:drawing>
                      <wp:inline distT="0" distB="0" distL="0" distR="0" wp14:anchorId="7DE5A529" wp14:editId="294AA71E">
                        <wp:extent cx="1076325" cy="361950"/>
                        <wp:effectExtent l="0" t="0" r="9525" b="0"/>
                        <wp:docPr id="1821916255" name="Picture 3">
                          <a:hlinkClick xmlns:a="http://schemas.openxmlformats.org/drawingml/2006/main" r:id="rId4" tgtFrame="_blank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3619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54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E10F34A" w14:textId="77777777" w:rsidR="007240DD" w:rsidRDefault="007240DD">
                  <w:pPr>
                    <w:jc w:val="right"/>
                    <w:rPr>
                      <w:rFonts w:ascii="Arial" w:eastAsia="Times New Roman" w:hAnsi="Arial" w:cs="Arial"/>
                      <w:color w:val="7A8799"/>
                      <w:sz w:val="18"/>
                      <w:szCs w:val="18"/>
                    </w:rPr>
                  </w:pPr>
                  <w:r>
                    <w:rPr>
                      <w:rStyle w:val="pill"/>
                      <w:rFonts w:ascii="Arial" w:eastAsia="Times New Roman" w:hAnsi="Arial" w:cs="Arial"/>
                      <w:color w:val="7A8799"/>
                      <w:sz w:val="18"/>
                      <w:szCs w:val="18"/>
                    </w:rPr>
                    <w:t>Webinar invitation</w:t>
                  </w:r>
                  <w:r>
                    <w:rPr>
                      <w:rFonts w:ascii="Arial" w:eastAsia="Times New Roman" w:hAnsi="Arial" w:cs="Arial"/>
                      <w:color w:val="7A8799"/>
                      <w:sz w:val="18"/>
                      <w:szCs w:val="18"/>
                    </w:rPr>
                    <w:t xml:space="preserve"> </w:t>
                  </w:r>
                </w:p>
              </w:tc>
            </w:tr>
          </w:tbl>
          <w:p w14:paraId="7B44D07B" w14:textId="77777777" w:rsidR="007240DD" w:rsidRDefault="007240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DD" w14:paraId="59E48CD9" w14:textId="77777777">
        <w:trPr>
          <w:jc w:val="center"/>
        </w:trPr>
        <w:tc>
          <w:tcPr>
            <w:tcW w:w="0" w:type="auto"/>
            <w:shd w:val="clear" w:color="auto" w:fill="0099CC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000"/>
            </w:tblGrid>
            <w:tr w:rsidR="007240DD" w14:paraId="4EFD1F58" w14:textId="77777777">
              <w:tc>
                <w:tcPr>
                  <w:tcW w:w="0" w:type="auto"/>
                  <w:tcMar>
                    <w:top w:w="390" w:type="dxa"/>
                    <w:left w:w="480" w:type="dxa"/>
                    <w:bottom w:w="390" w:type="dxa"/>
                    <w:right w:w="480" w:type="dxa"/>
                  </w:tcMar>
                  <w:vAlign w:val="center"/>
                  <w:hideMark/>
                </w:tcPr>
                <w:p w14:paraId="655A29A9" w14:textId="77777777" w:rsidR="007240DD" w:rsidRDefault="007240DD">
                  <w:pPr>
                    <w:pStyle w:val="Heading1"/>
                    <w:spacing w:before="0" w:after="0"/>
                    <w:rPr>
                      <w:rFonts w:ascii="Arial" w:eastAsia="Times New Roman" w:hAnsi="Arial" w:cs="Arial"/>
                      <w:color w:val="FFFFFF"/>
                      <w:sz w:val="45"/>
                      <w:szCs w:val="45"/>
                    </w:rPr>
                  </w:pPr>
                  <w:r>
                    <w:rPr>
                      <w:rStyle w:val="Emphasis"/>
                      <w:rFonts w:ascii="Arial" w:eastAsia="Times New Roman" w:hAnsi="Arial" w:cs="Arial"/>
                      <w:color w:val="FFFFFF"/>
                      <w:sz w:val="45"/>
                      <w:szCs w:val="45"/>
                    </w:rPr>
                    <w:t>Legionella</w:t>
                  </w:r>
                  <w:r>
                    <w:rPr>
                      <w:rFonts w:ascii="Arial" w:eastAsia="Times New Roman" w:hAnsi="Arial" w:cs="Arial"/>
                      <w:color w:val="FFFFFF"/>
                      <w:sz w:val="45"/>
                      <w:szCs w:val="45"/>
                    </w:rPr>
                    <w:t xml:space="preserve"> enumeration by ISO 11731: Limits &amp; Biases </w:t>
                  </w:r>
                </w:p>
              </w:tc>
            </w:tr>
          </w:tbl>
          <w:p w14:paraId="5FA862D6" w14:textId="77777777" w:rsidR="007240DD" w:rsidRDefault="007240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DD" w14:paraId="70E24B7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330" w:type="dxa"/>
              <w:left w:w="480" w:type="dxa"/>
              <w:bottom w:w="150" w:type="dxa"/>
              <w:right w:w="480" w:type="dxa"/>
            </w:tcMar>
            <w:vAlign w:val="center"/>
            <w:hideMark/>
          </w:tcPr>
          <w:tbl>
            <w:tblPr>
              <w:tblW w:w="5000" w:type="pct"/>
              <w:tblBorders>
                <w:top w:val="single" w:sz="6" w:space="0" w:color="E6EEF5"/>
                <w:left w:val="single" w:sz="6" w:space="0" w:color="E6EEF5"/>
                <w:bottom w:val="single" w:sz="6" w:space="0" w:color="E6EEF5"/>
                <w:right w:val="single" w:sz="6" w:space="0" w:color="E6EEF5"/>
              </w:tblBorders>
              <w:shd w:val="clear" w:color="auto" w:fill="F7FB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7890"/>
            </w:tblGrid>
            <w:tr w:rsidR="007240DD" w14:paraId="18D92A2A" w14:textId="77777777"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99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2FFC4A42" w14:textId="77777777" w:rsidR="007240DD" w:rsidRDefault="007240DD">
                  <w:pP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BFF"/>
                  <w:tcMar>
                    <w:top w:w="270" w:type="dxa"/>
                    <w:left w:w="330" w:type="dxa"/>
                    <w:bottom w:w="270" w:type="dxa"/>
                    <w:right w:w="330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26"/>
                    <w:gridCol w:w="3904"/>
                  </w:tblGrid>
                  <w:tr w:rsidR="007240DD" w14:paraId="0A7A4F24" w14:textId="77777777">
                    <w:tc>
                      <w:tcPr>
                        <w:tcW w:w="2300" w:type="pct"/>
                        <w:tcMar>
                          <w:top w:w="90" w:type="dxa"/>
                          <w:left w:w="120" w:type="dxa"/>
                          <w:bottom w:w="90" w:type="dxa"/>
                          <w:right w:w="120" w:type="dxa"/>
                        </w:tcMar>
                        <w:hideMark/>
                      </w:tcPr>
                      <w:p w14:paraId="7CB98F41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</w:rPr>
                        </w:pPr>
                        <w:r>
                          <w:rPr>
                            <w:rFonts w:ascii="Segoe UI Emoji" w:eastAsia="Times New Roman" w:hAnsi="Segoe UI Emoji" w:cs="Segoe UI Emoji"/>
                            <w:b/>
                            <w:bCs/>
                            <w:color w:val="0D2233"/>
                          </w:rPr>
                          <w:t>🎙️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</w:rPr>
                          <w:t xml:space="preserve"> Speakers</w:t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E6EEF5"/>
                            <w:left w:val="single" w:sz="6" w:space="0" w:color="E6EEF5"/>
                            <w:bottom w:val="single" w:sz="6" w:space="0" w:color="E6EEF5"/>
                            <w:right w:val="single" w:sz="6" w:space="0" w:color="E6EEF5"/>
                          </w:tblBorders>
                          <w:shd w:val="clear" w:color="auto" w:fill="FFFFFF"/>
                          <w:tblLook w:val="04A0" w:firstRow="1" w:lastRow="0" w:firstColumn="1" w:lastColumn="0" w:noHBand="0" w:noVBand="1"/>
                        </w:tblPr>
                        <w:tblGrid>
                          <w:gridCol w:w="3086"/>
                        </w:tblGrid>
                        <w:tr w:rsidR="007240DD" w14:paraId="770D45D0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80" w:type="dxa"/>
                                <w:left w:w="210" w:type="dxa"/>
                                <w:bottom w:w="180" w:type="dxa"/>
                                <w:right w:w="210" w:type="dxa"/>
                              </w:tcMar>
                              <w:vAlign w:val="center"/>
                              <w:hideMark/>
                            </w:tcPr>
                            <w:p w14:paraId="75B9A32D" w14:textId="7E0CE24B" w:rsidR="007240DD" w:rsidRDefault="007240DD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0D2233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 wp14:anchorId="6DFE0024" wp14:editId="33B69207">
                                    <wp:extent cx="828675" cy="828675"/>
                                    <wp:effectExtent l="0" t="0" r="9525" b="9525"/>
                                    <wp:docPr id="67746799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8675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  <w:br/>
                                <w:t>Dr Fanny Passot</w:t>
                              </w:r>
                            </w:p>
                            <w:p w14:paraId="6DB5EB35" w14:textId="77777777" w:rsidR="007240DD" w:rsidRDefault="007240DD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20323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0323F"/>
                                  <w:sz w:val="18"/>
                                  <w:szCs w:val="18"/>
                                </w:rPr>
                                <w:t>R&amp;D Project Leader, Diamidex</w:t>
                              </w:r>
                            </w:p>
                          </w:tc>
                        </w:tr>
                      </w:tbl>
                      <w:p w14:paraId="533C3C9D" w14:textId="77777777" w:rsidR="007240DD" w:rsidRDefault="007240DD">
                        <w:pPr>
                          <w:spacing w:line="150" w:lineRule="atLeast"/>
                          <w:rPr>
                            <w:rFonts w:ascii="Arial" w:eastAsia="Times New Roman" w:hAnsi="Arial" w:cs="Arial"/>
                            <w:color w:val="212529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12529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E6EEF5"/>
                            <w:left w:val="single" w:sz="6" w:space="0" w:color="E6EEF5"/>
                            <w:bottom w:val="single" w:sz="6" w:space="0" w:color="E6EEF5"/>
                            <w:right w:val="single" w:sz="6" w:space="0" w:color="E6EEF5"/>
                          </w:tblBorders>
                          <w:shd w:val="clear" w:color="auto" w:fill="FFFFFF"/>
                          <w:tblLook w:val="04A0" w:firstRow="1" w:lastRow="0" w:firstColumn="1" w:lastColumn="0" w:noHBand="0" w:noVBand="1"/>
                        </w:tblPr>
                        <w:tblGrid>
                          <w:gridCol w:w="3086"/>
                        </w:tblGrid>
                        <w:tr w:rsidR="007240DD" w14:paraId="330D54E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80" w:type="dxa"/>
                                <w:left w:w="210" w:type="dxa"/>
                                <w:bottom w:w="180" w:type="dxa"/>
                                <w:right w:w="210" w:type="dxa"/>
                              </w:tcMar>
                              <w:vAlign w:val="center"/>
                              <w:hideMark/>
                            </w:tcPr>
                            <w:p w14:paraId="48EE3D35" w14:textId="4C95EEC9" w:rsidR="007240DD" w:rsidRDefault="007240DD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noProof/>
                                  <w:color w:val="0D2233"/>
                                  <w:sz w:val="21"/>
                                  <w:szCs w:val="21"/>
                                </w:rPr>
                                <w:drawing>
                                  <wp:inline distT="0" distB="0" distL="0" distR="0" wp14:anchorId="445854CC" wp14:editId="7D9B5EEF">
                                    <wp:extent cx="828675" cy="828675"/>
                                    <wp:effectExtent l="0" t="0" r="9525" b="9525"/>
                                    <wp:docPr id="1433491482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828675" cy="8286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  <w:br/>
                                <w:t>Dr Audrey Dumont</w:t>
                              </w:r>
                            </w:p>
                            <w:p w14:paraId="76AF02DA" w14:textId="77777777" w:rsidR="007240DD" w:rsidRDefault="007240DD">
                              <w:pPr>
                                <w:jc w:val="center"/>
                                <w:rPr>
                                  <w:rFonts w:ascii="Arial" w:eastAsia="Times New Roman" w:hAnsi="Arial" w:cs="Arial"/>
                                  <w:color w:val="20323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0323F"/>
                                  <w:sz w:val="18"/>
                                  <w:szCs w:val="18"/>
                                </w:rPr>
                                <w:t>Head of R&amp;D, Diamidex</w:t>
                              </w:r>
                            </w:p>
                          </w:tc>
                        </w:tr>
                      </w:tbl>
                      <w:p w14:paraId="217F6841" w14:textId="77777777" w:rsidR="007240DD" w:rsidRDefault="007240DD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00" w:type="pct"/>
                        <w:tcMar>
                          <w:top w:w="90" w:type="dxa"/>
                          <w:left w:w="120" w:type="dxa"/>
                          <w:bottom w:w="90" w:type="dxa"/>
                          <w:right w:w="120" w:type="dxa"/>
                        </w:tcMar>
                        <w:hideMark/>
                      </w:tcPr>
                      <w:p w14:paraId="2FCF57E3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</w:rPr>
                        </w:pPr>
                        <w:r>
                          <w:rPr>
                            <w:rFonts w:ascii="Segoe UI Emoji" w:eastAsia="Times New Roman" w:hAnsi="Segoe UI Emoji" w:cs="Segoe UI Emoji"/>
                            <w:b/>
                            <w:bCs/>
                            <w:color w:val="0D2233"/>
                          </w:rPr>
                          <w:t>🗓️</w:t>
                        </w: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</w:rPr>
                          <w:t xml:space="preserve"> Choose your live session</w:t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E6EEF5"/>
                            <w:left w:val="single" w:sz="6" w:space="0" w:color="E6EEF5"/>
                            <w:bottom w:val="single" w:sz="6" w:space="0" w:color="E6EEF5"/>
                            <w:right w:val="single" w:sz="6" w:space="0" w:color="E6EEF5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64"/>
                        </w:tblGrid>
                        <w:tr w:rsidR="007240DD" w14:paraId="3AFC34DE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80" w:type="dxa"/>
                                <w:left w:w="210" w:type="dxa"/>
                                <w:bottom w:w="180" w:type="dxa"/>
                                <w:right w:w="210" w:type="dxa"/>
                              </w:tcMar>
                              <w:vAlign w:val="center"/>
                              <w:hideMark/>
                            </w:tcPr>
                            <w:p w14:paraId="406B63E0" w14:textId="77777777" w:rsidR="007240DD" w:rsidRDefault="007240DD">
                              <w:p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  <w:t>Session #1 — Mon, Feb 16, 2026 — 09:00 CET</w:t>
                              </w:r>
                            </w:p>
                            <w:p w14:paraId="72E35BFE" w14:textId="77777777" w:rsidR="007240DD" w:rsidRDefault="007240DD">
                              <w:pPr>
                                <w:rPr>
                                  <w:rFonts w:ascii="Arial" w:eastAsia="Times New Roman" w:hAnsi="Arial" w:cs="Arial"/>
                                  <w:color w:val="20323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0323F"/>
                                  <w:sz w:val="20"/>
                                  <w:szCs w:val="20"/>
                                </w:rPr>
                                <w:t>1 hour · Live Q&amp;A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9"/>
                              </w:tblGrid>
                              <w:tr w:rsidR="007240DD" w14:paraId="0313F036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99CC"/>
                                      <w:left w:val="single" w:sz="6" w:space="0" w:color="0099CC"/>
                                      <w:bottom w:val="single" w:sz="6" w:space="0" w:color="0099CC"/>
                                      <w:right w:val="single" w:sz="6" w:space="0" w:color="0099CC"/>
                                    </w:tcBorders>
                                    <w:shd w:val="clear" w:color="auto" w:fill="0099CC"/>
                                    <w:vAlign w:val="center"/>
                                    <w:hideMark/>
                                  </w:tcPr>
                                  <w:p w14:paraId="174D1464" w14:textId="77777777" w:rsidR="007240DD" w:rsidRDefault="007240DD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FFFFFF"/>
                                        <w:sz w:val="21"/>
                                        <w:szCs w:val="21"/>
                                      </w:rPr>
                                    </w:pPr>
                                    <w:hyperlink r:id="rId8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FFFFFF"/>
                                          <w:sz w:val="21"/>
                                          <w:szCs w:val="21"/>
                                          <w:bdr w:val="single" w:sz="6" w:space="8" w:color="0099CC" w:frame="1"/>
                                          <w:shd w:val="clear" w:color="auto" w:fill="0099CC"/>
                                        </w:rPr>
                                        <w:t xml:space="preserve">Register (Session 1)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EF2FDB7" w14:textId="77777777" w:rsidR="007240DD" w:rsidRDefault="007240D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7884FBE4" w14:textId="77777777" w:rsidR="007240DD" w:rsidRDefault="007240DD">
                        <w:pPr>
                          <w:spacing w:line="150" w:lineRule="atLeast"/>
                          <w:rPr>
                            <w:rFonts w:ascii="Arial" w:eastAsia="Times New Roman" w:hAnsi="Arial" w:cs="Arial"/>
                            <w:color w:val="212529"/>
                            <w:sz w:val="2"/>
                            <w:szCs w:val="2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12529"/>
                            <w:sz w:val="2"/>
                            <w:szCs w:val="2"/>
                          </w:rPr>
                          <w:t> </w:t>
                        </w:r>
                      </w:p>
                      <w:tbl>
                        <w:tblPr>
                          <w:tblW w:w="5000" w:type="pct"/>
                          <w:tblBorders>
                            <w:top w:val="single" w:sz="6" w:space="0" w:color="E6EEF5"/>
                            <w:left w:val="single" w:sz="6" w:space="0" w:color="E6EEF5"/>
                            <w:bottom w:val="single" w:sz="6" w:space="0" w:color="E6EEF5"/>
                            <w:right w:val="single" w:sz="6" w:space="0" w:color="E6EEF5"/>
                          </w:tblBorders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664"/>
                        </w:tblGrid>
                        <w:tr w:rsidR="007240DD" w14:paraId="27E6779A" w14:textId="77777777"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FFFFFF"/>
                              <w:tcMar>
                                <w:top w:w="180" w:type="dxa"/>
                                <w:left w:w="210" w:type="dxa"/>
                                <w:bottom w:w="180" w:type="dxa"/>
                                <w:right w:w="210" w:type="dxa"/>
                              </w:tcMar>
                              <w:vAlign w:val="center"/>
                              <w:hideMark/>
                            </w:tcPr>
                            <w:p w14:paraId="20C05277" w14:textId="77777777" w:rsidR="007240DD" w:rsidRDefault="007240DD">
                              <w:pP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D2233"/>
                                  <w:sz w:val="21"/>
                                  <w:szCs w:val="21"/>
                                </w:rPr>
                                <w:t>Session #2 — Thu, Feb 19, 2026 — 17:00 CET</w:t>
                              </w:r>
                            </w:p>
                            <w:p w14:paraId="0D2863CB" w14:textId="77777777" w:rsidR="007240DD" w:rsidRDefault="007240DD">
                              <w:pPr>
                                <w:rPr>
                                  <w:rFonts w:ascii="Arial" w:eastAsia="Times New Roman" w:hAnsi="Arial" w:cs="Arial"/>
                                  <w:color w:val="20323F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20323F"/>
                                  <w:sz w:val="20"/>
                                  <w:szCs w:val="20"/>
                                </w:rPr>
                                <w:t>1 hour · Live Q&amp;A</w:t>
                              </w:r>
                            </w:p>
                            <w:tbl>
                              <w:tblPr>
                                <w:tblW w:w="0" w:type="auto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399"/>
                              </w:tblGrid>
                              <w:tr w:rsidR="007240DD" w14:paraId="644E6D0E" w14:textId="77777777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Borders>
                                      <w:top w:val="single" w:sz="6" w:space="0" w:color="0099CC"/>
                                      <w:left w:val="single" w:sz="6" w:space="0" w:color="0099CC"/>
                                      <w:bottom w:val="single" w:sz="6" w:space="0" w:color="0099CC"/>
                                      <w:right w:val="single" w:sz="6" w:space="0" w:color="0099CC"/>
                                    </w:tcBorders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14:paraId="61891DF0" w14:textId="77777777" w:rsidR="007240DD" w:rsidRDefault="007240DD">
                                    <w:pPr>
                                      <w:jc w:val="center"/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0099CC"/>
                                        <w:sz w:val="21"/>
                                        <w:szCs w:val="21"/>
                                      </w:rPr>
                                    </w:pPr>
                                    <w:hyperlink r:id="rId9" w:tgtFrame="_blank" w:history="1">
                                      <w:r>
                                        <w:rPr>
                                          <w:rStyle w:val="Hyperlink"/>
                                          <w:rFonts w:ascii="Arial" w:eastAsia="Times New Roman" w:hAnsi="Arial" w:cs="Arial"/>
                                          <w:b/>
                                          <w:bCs/>
                                          <w:color w:val="0099CC"/>
                                          <w:sz w:val="21"/>
                                          <w:szCs w:val="21"/>
                                          <w:bdr w:val="single" w:sz="6" w:space="8" w:color="0099CC" w:frame="1"/>
                                          <w:shd w:val="clear" w:color="auto" w:fill="FFFFFF"/>
                                        </w:rPr>
                                        <w:t xml:space="preserve">Register (Session 2) </w:t>
                                      </w:r>
                                    </w:hyperlink>
                                  </w:p>
                                </w:tc>
                              </w:tr>
                            </w:tbl>
                            <w:p w14:paraId="2FBAAF5E" w14:textId="77777777" w:rsidR="007240DD" w:rsidRDefault="007240DD">
                              <w:pPr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4F87093D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color w:val="7A8799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7A8799"/>
                            <w:sz w:val="18"/>
                            <w:szCs w:val="18"/>
                          </w:rPr>
                          <w:t xml:space="preserve">Can’t attend live? Register to receive the on-demand </w:t>
                        </w:r>
                        <w:proofErr w:type="gramStart"/>
                        <w:r>
                          <w:rPr>
                            <w:rFonts w:ascii="Arial" w:eastAsia="Times New Roman" w:hAnsi="Arial" w:cs="Arial"/>
                            <w:color w:val="7A8799"/>
                            <w:sz w:val="18"/>
                            <w:szCs w:val="18"/>
                          </w:rPr>
                          <w:t>replay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color w:val="7A8799"/>
                            <w:sz w:val="18"/>
                            <w:szCs w:val="18"/>
                          </w:rPr>
                          <w:t xml:space="preserve">. </w:t>
                        </w:r>
                      </w:p>
                    </w:tc>
                  </w:tr>
                </w:tbl>
                <w:p w14:paraId="113AD3B9" w14:textId="77777777" w:rsidR="007240DD" w:rsidRDefault="007240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E334B72" w14:textId="77777777" w:rsidR="007240DD" w:rsidRDefault="007240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DD" w14:paraId="7ED4E44C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210" w:type="dxa"/>
              <w:left w:w="480" w:type="dxa"/>
              <w:bottom w:w="90" w:type="dxa"/>
              <w:right w:w="480" w:type="dxa"/>
            </w:tcMar>
            <w:vAlign w:val="center"/>
            <w:hideMark/>
          </w:tcPr>
          <w:p w14:paraId="347652D9" w14:textId="77777777" w:rsidR="007240DD" w:rsidRDefault="007240DD">
            <w:pPr>
              <w:pStyle w:val="NormalWeb"/>
              <w:spacing w:before="0" w:beforeAutospacing="0" w:after="210" w:afterAutospacing="0"/>
              <w:rPr>
                <w:rFonts w:ascii="Arial" w:hAnsi="Arial" w:cs="Arial"/>
                <w:color w:val="20323F"/>
                <w:sz w:val="21"/>
                <w:szCs w:val="21"/>
              </w:rPr>
            </w:pPr>
            <w:r>
              <w:rPr>
                <w:rStyle w:val="Strong"/>
                <w:rFonts w:ascii="Arial" w:hAnsi="Arial" w:cs="Arial"/>
                <w:color w:val="20323F"/>
                <w:sz w:val="27"/>
                <w:szCs w:val="27"/>
              </w:rPr>
              <w:t xml:space="preserve">Why can </w:t>
            </w:r>
            <w:r>
              <w:rPr>
                <w:rStyle w:val="Emphasis"/>
                <w:rFonts w:ascii="Arial" w:hAnsi="Arial" w:cs="Arial"/>
                <w:b/>
                <w:bCs/>
                <w:color w:val="20323F"/>
                <w:sz w:val="27"/>
                <w:szCs w:val="27"/>
              </w:rPr>
              <w:t>Legionella </w:t>
            </w:r>
            <w:r>
              <w:rPr>
                <w:rStyle w:val="Strong"/>
                <w:rFonts w:ascii="Arial" w:hAnsi="Arial" w:cs="Arial"/>
                <w:color w:val="20323F"/>
                <w:sz w:val="27"/>
                <w:szCs w:val="27"/>
              </w:rPr>
              <w:t>results differ even when everyone follows the same ISO standard?</w:t>
            </w:r>
          </w:p>
          <w:p w14:paraId="3A552C45" w14:textId="77777777" w:rsidR="007240DD" w:rsidRDefault="007240DD">
            <w:pPr>
              <w:pStyle w:val="NormalWeb"/>
              <w:spacing w:before="0" w:beforeAutospacing="0" w:after="210" w:afterAutospacing="0"/>
              <w:rPr>
                <w:rFonts w:ascii="Arial" w:hAnsi="Arial" w:cs="Arial"/>
                <w:color w:val="20323F"/>
                <w:sz w:val="21"/>
                <w:szCs w:val="21"/>
              </w:rPr>
            </w:pPr>
            <w:r>
              <w:rPr>
                <w:rFonts w:ascii="Arial" w:hAnsi="Arial" w:cs="Arial"/>
                <w:color w:val="20323F"/>
                <w:sz w:val="21"/>
                <w:szCs w:val="21"/>
              </w:rPr>
              <w:t xml:space="preserve">In this session, we’ll highlight the key biases introduced across the main steps of the method and explain why ISO 11731 offers multiple protocol </w:t>
            </w:r>
            <w:proofErr w:type="gramStart"/>
            <w:r>
              <w:rPr>
                <w:rFonts w:ascii="Arial" w:hAnsi="Arial" w:cs="Arial"/>
                <w:color w:val="20323F"/>
                <w:sz w:val="21"/>
                <w:szCs w:val="21"/>
              </w:rPr>
              <w:t>options—</w:t>
            </w:r>
            <w:proofErr w:type="gramEnd"/>
            <w:r>
              <w:rPr>
                <w:rFonts w:ascii="Arial" w:hAnsi="Arial" w:cs="Arial"/>
                <w:color w:val="20323F"/>
                <w:sz w:val="21"/>
                <w:szCs w:val="21"/>
              </w:rPr>
              <w:t xml:space="preserve">each reflecting real trade-offs </w:t>
            </w:r>
            <w:proofErr w:type="gramStart"/>
            <w:r>
              <w:rPr>
                <w:rFonts w:ascii="Arial" w:hAnsi="Arial" w:cs="Arial"/>
                <w:color w:val="20323F"/>
                <w:sz w:val="21"/>
                <w:szCs w:val="21"/>
              </w:rPr>
              <w:t>labs</w:t>
            </w:r>
            <w:proofErr w:type="gramEnd"/>
            <w:r>
              <w:rPr>
                <w:rFonts w:ascii="Arial" w:hAnsi="Arial" w:cs="Arial"/>
                <w:color w:val="20323F"/>
                <w:sz w:val="21"/>
                <w:szCs w:val="21"/>
              </w:rPr>
              <w:t xml:space="preserve"> must manage. </w:t>
            </w:r>
          </w:p>
          <w:p w14:paraId="709019F2" w14:textId="77777777" w:rsidR="007240DD" w:rsidRDefault="007240DD">
            <w:pPr>
              <w:pStyle w:val="Heading2"/>
              <w:spacing w:before="0" w:after="150"/>
              <w:rPr>
                <w:rFonts w:ascii="Arial" w:eastAsia="Times New Roman" w:hAnsi="Arial" w:cs="Arial"/>
                <w:color w:val="0D2233"/>
                <w:sz w:val="27"/>
                <w:szCs w:val="27"/>
              </w:rPr>
            </w:pPr>
            <w:r>
              <w:rPr>
                <w:rFonts w:ascii="Arial" w:eastAsia="Times New Roman" w:hAnsi="Arial" w:cs="Arial"/>
                <w:color w:val="0D2233"/>
                <w:sz w:val="27"/>
                <w:szCs w:val="27"/>
              </w:rPr>
              <w:t>What you will learn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20"/>
              <w:gridCol w:w="4020"/>
            </w:tblGrid>
            <w:tr w:rsidR="007240DD" w14:paraId="5DFC9A9A" w14:textId="77777777">
              <w:tc>
                <w:tcPr>
                  <w:tcW w:w="2500" w:type="pct"/>
                  <w:tcMar>
                    <w:top w:w="90" w:type="dxa"/>
                    <w:left w:w="120" w:type="dxa"/>
                    <w:bottom w:w="9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tblBorders>
                      <w:top w:val="single" w:sz="6" w:space="0" w:color="E6EEF5"/>
                      <w:left w:val="single" w:sz="6" w:space="0" w:color="E6EEF5"/>
                      <w:bottom w:val="single" w:sz="6" w:space="0" w:color="E6EEF5"/>
                      <w:right w:val="single" w:sz="6" w:space="0" w:color="E6EEF5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7240DD" w14:paraId="4CE2F8B4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80" w:type="dxa"/>
                          <w:left w:w="210" w:type="dxa"/>
                          <w:bottom w:w="180" w:type="dxa"/>
                          <w:right w:w="210" w:type="dxa"/>
                        </w:tcMar>
                        <w:vAlign w:val="center"/>
                        <w:hideMark/>
                      </w:tcPr>
                      <w:p w14:paraId="634052AC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  <w:t>Why ISO 11731 is complex</w:t>
                        </w:r>
                      </w:p>
                      <w:p w14:paraId="35B070C5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  <w:t>And what the consequences are for recovery, comparability and interpretation.</w:t>
                        </w:r>
                      </w:p>
                    </w:tc>
                  </w:tr>
                </w:tbl>
                <w:p w14:paraId="3A6BE1A4" w14:textId="77777777" w:rsidR="007240DD" w:rsidRDefault="007240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90" w:type="dxa"/>
                    <w:left w:w="120" w:type="dxa"/>
                    <w:bottom w:w="9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tblBorders>
                      <w:top w:val="single" w:sz="6" w:space="0" w:color="E6EEF5"/>
                      <w:left w:val="single" w:sz="6" w:space="0" w:color="E6EEF5"/>
                      <w:bottom w:val="single" w:sz="6" w:space="0" w:color="E6EEF5"/>
                      <w:right w:val="single" w:sz="6" w:space="0" w:color="E6EEF5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7240DD" w14:paraId="4987D1CC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80" w:type="dxa"/>
                          <w:left w:w="210" w:type="dxa"/>
                          <w:bottom w:w="180" w:type="dxa"/>
                          <w:right w:w="210" w:type="dxa"/>
                        </w:tcMar>
                        <w:vAlign w:val="center"/>
                        <w:hideMark/>
                      </w:tcPr>
                      <w:p w14:paraId="57BC18A8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  <w:t>Where biases occur</w:t>
                        </w:r>
                      </w:p>
                      <w:p w14:paraId="660ADB31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  <w:t>Common sources of variability and how they impact recovery / comparability.</w:t>
                        </w:r>
                      </w:p>
                    </w:tc>
                  </w:tr>
                </w:tbl>
                <w:p w14:paraId="7A8867A2" w14:textId="77777777" w:rsidR="007240DD" w:rsidRDefault="007240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240DD" w14:paraId="0CB6A337" w14:textId="77777777">
              <w:tc>
                <w:tcPr>
                  <w:tcW w:w="2500" w:type="pct"/>
                  <w:tcMar>
                    <w:top w:w="90" w:type="dxa"/>
                    <w:left w:w="120" w:type="dxa"/>
                    <w:bottom w:w="9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tblBorders>
                      <w:top w:val="single" w:sz="6" w:space="0" w:color="E6EEF5"/>
                      <w:left w:val="single" w:sz="6" w:space="0" w:color="E6EEF5"/>
                      <w:bottom w:val="single" w:sz="6" w:space="0" w:color="E6EEF5"/>
                      <w:right w:val="single" w:sz="6" w:space="0" w:color="E6EEF5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7240DD" w14:paraId="55006A30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80" w:type="dxa"/>
                          <w:left w:w="210" w:type="dxa"/>
                          <w:bottom w:w="180" w:type="dxa"/>
                          <w:right w:w="210" w:type="dxa"/>
                        </w:tcMar>
                        <w:vAlign w:val="center"/>
                        <w:hideMark/>
                      </w:tcPr>
                      <w:p w14:paraId="3EC3DD63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</w:pPr>
                        <w:proofErr w:type="gramStart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  <w:t>How to think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  <w:t xml:space="preserve"> about trade-offs</w:t>
                        </w:r>
                      </w:p>
                      <w:p w14:paraId="7B10F7D4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  <w:t>Why multiple protocol variants exist and how choices influence results.</w:t>
                        </w:r>
                      </w:p>
                    </w:tc>
                  </w:tr>
                </w:tbl>
                <w:p w14:paraId="0BF69C1E" w14:textId="77777777" w:rsidR="007240DD" w:rsidRDefault="007240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tcMar>
                    <w:top w:w="90" w:type="dxa"/>
                    <w:left w:w="120" w:type="dxa"/>
                    <w:bottom w:w="90" w:type="dxa"/>
                    <w:right w:w="120" w:type="dxa"/>
                  </w:tcMar>
                  <w:hideMark/>
                </w:tcPr>
                <w:tbl>
                  <w:tblPr>
                    <w:tblW w:w="5000" w:type="pct"/>
                    <w:tblBorders>
                      <w:top w:val="single" w:sz="6" w:space="0" w:color="E6EEF5"/>
                      <w:left w:val="single" w:sz="6" w:space="0" w:color="E6EEF5"/>
                      <w:bottom w:val="single" w:sz="6" w:space="0" w:color="E6EEF5"/>
                      <w:right w:val="single" w:sz="6" w:space="0" w:color="E6EEF5"/>
                    </w:tblBorders>
                    <w:shd w:val="clear" w:color="auto" w:fill="FFFFFF"/>
                    <w:tblLook w:val="04A0" w:firstRow="1" w:lastRow="0" w:firstColumn="1" w:lastColumn="0" w:noHBand="0" w:noVBand="1"/>
                  </w:tblPr>
                  <w:tblGrid>
                    <w:gridCol w:w="3780"/>
                  </w:tblGrid>
                  <w:tr w:rsidR="007240DD" w14:paraId="02E87E23" w14:textId="77777777"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80" w:type="dxa"/>
                          <w:left w:w="210" w:type="dxa"/>
                          <w:bottom w:w="180" w:type="dxa"/>
                          <w:right w:w="210" w:type="dxa"/>
                        </w:tcMar>
                        <w:vAlign w:val="center"/>
                        <w:hideMark/>
                      </w:tcPr>
                      <w:p w14:paraId="0ECFD4DD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D2233"/>
                            <w:sz w:val="23"/>
                            <w:szCs w:val="23"/>
                          </w:rPr>
                          <w:t>Practical consistency ideas</w:t>
                        </w:r>
                      </w:p>
                      <w:p w14:paraId="5625CAF8" w14:textId="77777777" w:rsidR="007240DD" w:rsidRDefault="007240DD">
                        <w:pP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eastAsia="Times New Roman" w:hAnsi="Arial" w:cs="Arial"/>
                            <w:color w:val="20323F"/>
                            <w:sz w:val="21"/>
                            <w:szCs w:val="21"/>
                          </w:rPr>
                          <w:t>Improve consistency, result interpretation, and risk-management discussions.</w:t>
                        </w:r>
                      </w:p>
                    </w:tc>
                  </w:tr>
                </w:tbl>
                <w:p w14:paraId="2C3BC9BA" w14:textId="77777777" w:rsidR="007240DD" w:rsidRDefault="007240DD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55A039C3" w14:textId="77777777" w:rsidR="007240DD" w:rsidRDefault="007240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DD" w14:paraId="7034CCB9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480" w:type="dxa"/>
              <w:bottom w:w="150" w:type="dxa"/>
              <w:right w:w="480" w:type="dxa"/>
            </w:tcMar>
            <w:vAlign w:val="center"/>
            <w:hideMark/>
          </w:tcPr>
          <w:p w14:paraId="48473E7B" w14:textId="77777777" w:rsidR="007240DD" w:rsidRDefault="007240DD">
            <w:pPr>
              <w:jc w:val="center"/>
              <w:rPr>
                <w:rFonts w:ascii="Arial" w:eastAsia="Times New Roman" w:hAnsi="Arial" w:cs="Arial"/>
                <w:color w:val="212529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212529"/>
                <w:sz w:val="21"/>
                <w:szCs w:val="21"/>
              </w:rPr>
              <w:pict w14:anchorId="0BB9E95C">
                <v:rect id="_x0000_i1028" style="width:468pt;height:.75pt" o:hralign="center" o:hrstd="t" o:hrnoshade="t" o:hr="t" fillcolor="#212529" stroked="f"/>
              </w:pict>
            </w:r>
          </w:p>
        </w:tc>
      </w:tr>
      <w:tr w:rsidR="007240DD" w14:paraId="44D7FC10" w14:textId="77777777">
        <w:trPr>
          <w:jc w:val="center"/>
        </w:trPr>
        <w:tc>
          <w:tcPr>
            <w:tcW w:w="0" w:type="auto"/>
            <w:shd w:val="clear" w:color="auto" w:fill="FFFFFF"/>
            <w:tcMar>
              <w:top w:w="270" w:type="dxa"/>
              <w:left w:w="480" w:type="dxa"/>
              <w:bottom w:w="90" w:type="dxa"/>
              <w:right w:w="480" w:type="dxa"/>
            </w:tcMar>
            <w:vAlign w:val="center"/>
            <w:hideMark/>
          </w:tcPr>
          <w:p w14:paraId="349EBF75" w14:textId="77777777" w:rsidR="007240DD" w:rsidRDefault="007240DD">
            <w:pPr>
              <w:pStyle w:val="Heading3"/>
              <w:spacing w:before="0" w:after="150"/>
              <w:rPr>
                <w:rFonts w:ascii="Arial" w:eastAsia="Times New Roman" w:hAnsi="Arial" w:cs="Arial"/>
                <w:color w:val="0D2233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D2233"/>
                <w:sz w:val="24"/>
                <w:szCs w:val="24"/>
              </w:rPr>
              <w:lastRenderedPageBreak/>
              <w:t>About Diamidex</w:t>
            </w:r>
          </w:p>
          <w:tbl>
            <w:tblPr>
              <w:tblW w:w="5000" w:type="pct"/>
              <w:tblBorders>
                <w:top w:val="single" w:sz="6" w:space="0" w:color="E6EEF5"/>
                <w:left w:val="single" w:sz="6" w:space="0" w:color="E6EEF5"/>
                <w:bottom w:val="single" w:sz="6" w:space="0" w:color="E6EEF5"/>
                <w:right w:val="single" w:sz="6" w:space="0" w:color="E6EEF5"/>
              </w:tblBorders>
              <w:shd w:val="clear" w:color="auto" w:fill="F7FBFF"/>
              <w:tblLook w:val="04A0" w:firstRow="1" w:lastRow="0" w:firstColumn="1" w:lastColumn="0" w:noHBand="0" w:noVBand="1"/>
            </w:tblPr>
            <w:tblGrid>
              <w:gridCol w:w="150"/>
              <w:gridCol w:w="7890"/>
            </w:tblGrid>
            <w:tr w:rsidR="007240DD" w14:paraId="1FB89E3C" w14:textId="77777777">
              <w:tc>
                <w:tcPr>
                  <w:tcW w:w="1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99CC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4923B4DC" w14:textId="77777777" w:rsidR="007240DD" w:rsidRDefault="007240DD">
                  <w:pP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color w:val="212529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7FBFF"/>
                  <w:tcMar>
                    <w:top w:w="210" w:type="dxa"/>
                    <w:left w:w="240" w:type="dxa"/>
                    <w:bottom w:w="210" w:type="dxa"/>
                    <w:right w:w="240" w:type="dxa"/>
                  </w:tcMar>
                  <w:vAlign w:val="center"/>
                  <w:hideMark/>
                </w:tcPr>
                <w:p w14:paraId="79DE2F17" w14:textId="77777777" w:rsidR="007240DD" w:rsidRDefault="007240DD">
                  <w:pPr>
                    <w:pStyle w:val="NormalWeb"/>
                    <w:spacing w:before="0" w:beforeAutospacing="0" w:after="150" w:afterAutospacing="0"/>
                    <w:rPr>
                      <w:rFonts w:ascii="Arial" w:hAnsi="Arial" w:cs="Arial"/>
                      <w:color w:val="20323F"/>
                      <w:sz w:val="21"/>
                      <w:szCs w:val="21"/>
                    </w:rPr>
                  </w:pPr>
                  <w:r>
                    <w:rPr>
                      <w:rStyle w:val="Strong"/>
                      <w:rFonts w:ascii="Arial" w:hAnsi="Arial" w:cs="Arial"/>
                      <w:color w:val="20323F"/>
                      <w:sz w:val="21"/>
                      <w:szCs w:val="21"/>
                    </w:rPr>
                    <w:t>DIAMIDEX</w:t>
                  </w:r>
                  <w:r>
                    <w:rPr>
                      <w:rFonts w:ascii="Arial" w:hAnsi="Arial" w:cs="Arial"/>
                      <w:color w:val="20323F"/>
                      <w:sz w:val="21"/>
                      <w:szCs w:val="21"/>
                    </w:rPr>
                    <w:t xml:space="preserve"> was established in 2014 by a team of doctors specializing in physiology, biochemistry, and molecular biology, dedicated to advancing the field of microbiology. </w:t>
                  </w:r>
                </w:p>
                <w:p w14:paraId="5BC17705" w14:textId="77777777" w:rsidR="007240DD" w:rsidRDefault="007240DD">
                  <w:pPr>
                    <w:pStyle w:val="NormalWeb"/>
                    <w:spacing w:before="0" w:beforeAutospacing="0" w:after="150" w:afterAutospacing="0"/>
                    <w:rPr>
                      <w:rFonts w:ascii="Arial" w:hAnsi="Arial" w:cs="Arial"/>
                      <w:color w:val="20323F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323F"/>
                      <w:sz w:val="21"/>
                      <w:szCs w:val="21"/>
                    </w:rPr>
                    <w:t xml:space="preserve">Our mission is to set the future gold standard in industrial microbiological testing by making the invisible visible faster, ultimately contributing to a safer world. </w:t>
                  </w:r>
                </w:p>
                <w:p w14:paraId="27FFE9C9" w14:textId="77777777" w:rsidR="007240DD" w:rsidRDefault="007240DD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20323F"/>
                      <w:sz w:val="21"/>
                      <w:szCs w:val="21"/>
                    </w:rPr>
                  </w:pPr>
                  <w:r>
                    <w:rPr>
                      <w:rFonts w:ascii="Arial" w:hAnsi="Arial" w:cs="Arial"/>
                      <w:color w:val="20323F"/>
                      <w:sz w:val="21"/>
                      <w:szCs w:val="21"/>
                    </w:rPr>
                    <w:t>To achieve this, we expanded our team with experts in photonics, machine learning, and mechatronics to develop MICA—an innovative platform that automatically detects and enumerates targeted microorganisms at the micro-colony stage, significantly reducing operator variability and accelerating time to result. </w:t>
                  </w:r>
                </w:p>
              </w:tc>
            </w:tr>
          </w:tbl>
          <w:p w14:paraId="089B31F3" w14:textId="77777777" w:rsidR="007240DD" w:rsidRDefault="007240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240DD" w14:paraId="0E1A6512" w14:textId="77777777">
        <w:trPr>
          <w:jc w:val="center"/>
        </w:trPr>
        <w:tc>
          <w:tcPr>
            <w:tcW w:w="0" w:type="auto"/>
            <w:shd w:val="clear" w:color="auto" w:fill="F4F7FB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000"/>
            </w:tblGrid>
            <w:tr w:rsidR="007240DD" w14:paraId="60BAF835" w14:textId="77777777">
              <w:tc>
                <w:tcPr>
                  <w:tcW w:w="0" w:type="auto"/>
                  <w:tcMar>
                    <w:top w:w="270" w:type="dxa"/>
                    <w:left w:w="480" w:type="dxa"/>
                    <w:bottom w:w="270" w:type="dxa"/>
                    <w:right w:w="480" w:type="dxa"/>
                  </w:tcMar>
                  <w:vAlign w:val="center"/>
                  <w:hideMark/>
                </w:tcPr>
                <w:p w14:paraId="3834E827" w14:textId="0753577A" w:rsidR="007240DD" w:rsidRDefault="007240DD" w:rsidP="007240DD">
                  <w:pPr>
                    <w:pStyle w:val="NormalWeb"/>
                    <w:spacing w:before="0" w:beforeAutospacing="0" w:after="0" w:afterAutospacing="0"/>
                    <w:rPr>
                      <w:rFonts w:ascii="Arial" w:hAnsi="Arial" w:cs="Arial"/>
                      <w:color w:val="7A8799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7A8799"/>
                      <w:sz w:val="18"/>
                      <w:szCs w:val="18"/>
                    </w:rPr>
                    <w:t xml:space="preserve">Diamidex · 163 Avenue de </w:t>
                  </w:r>
                  <w:proofErr w:type="spellStart"/>
                  <w:r>
                    <w:rPr>
                      <w:rFonts w:ascii="Arial" w:hAnsi="Arial" w:cs="Arial"/>
                      <w:color w:val="7A8799"/>
                      <w:sz w:val="18"/>
                      <w:szCs w:val="18"/>
                    </w:rPr>
                    <w:t>Luminy</w:t>
                  </w:r>
                  <w:proofErr w:type="spellEnd"/>
                  <w:r>
                    <w:rPr>
                      <w:rFonts w:ascii="Arial" w:hAnsi="Arial" w:cs="Arial"/>
                      <w:color w:val="7A8799"/>
                      <w:sz w:val="18"/>
                      <w:szCs w:val="18"/>
                    </w:rPr>
                    <w:t>, Case 922 · 13009 Marseille, France</w:t>
                  </w:r>
                  <w:r>
                    <w:rPr>
                      <w:rFonts w:ascii="Arial" w:hAnsi="Arial" w:cs="Arial"/>
                      <w:color w:val="7A8799"/>
                      <w:sz w:val="18"/>
                      <w:szCs w:val="18"/>
                    </w:rPr>
                    <w:br/>
                  </w:r>
                  <w:hyperlink r:id="rId10" w:tgtFrame="_blank" w:history="1">
                    <w:r>
                      <w:rPr>
                        <w:rStyle w:val="Hyperlink"/>
                        <w:rFonts w:ascii="Arial" w:hAnsi="Arial" w:cs="Arial"/>
                        <w:color w:val="7A8799"/>
                        <w:sz w:val="18"/>
                        <w:szCs w:val="18"/>
                        <w:u w:val="single"/>
                      </w:rPr>
                      <w:t>www.diamidex.com</w:t>
                    </w:r>
                  </w:hyperlink>
                  <w:r>
                    <w:rPr>
                      <w:rFonts w:ascii="Arial" w:hAnsi="Arial" w:cs="Arial"/>
                      <w:color w:val="7A8799"/>
                      <w:sz w:val="18"/>
                      <w:szCs w:val="18"/>
                    </w:rPr>
                    <w:t xml:space="preserve"> · +33 4 86 94 85 07 </w:t>
                  </w:r>
                </w:p>
              </w:tc>
            </w:tr>
          </w:tbl>
          <w:p w14:paraId="7FD0F380" w14:textId="77777777" w:rsidR="007240DD" w:rsidRDefault="007240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F54E358" w14:textId="77777777" w:rsidR="004029B3" w:rsidRDefault="004029B3"/>
    <w:sectPr w:rsidR="004029B3" w:rsidSect="007240DD">
      <w:pgSz w:w="12240" w:h="15840"/>
      <w:pgMar w:top="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0DD"/>
    <w:rsid w:val="004029B3"/>
    <w:rsid w:val="007240DD"/>
    <w:rsid w:val="007A0A1A"/>
    <w:rsid w:val="007B3ED5"/>
    <w:rsid w:val="00A13B88"/>
    <w:rsid w:val="00A36B2B"/>
    <w:rsid w:val="00DB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430E"/>
  <w15:chartTrackingRefBased/>
  <w15:docId w15:val="{881FE57C-36AF-4EEE-8737-CA60CC338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0DD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0D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40D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40D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0D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0D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0D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0D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0D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0D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0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40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40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0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0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0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0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0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0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0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40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0D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40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0DD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40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0DD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40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0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0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0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7240DD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7240DD"/>
    <w:pPr>
      <w:spacing w:before="100" w:beforeAutospacing="1" w:after="100" w:afterAutospacing="1"/>
    </w:pPr>
  </w:style>
  <w:style w:type="character" w:customStyle="1" w:styleId="pill">
    <w:name w:val="pill"/>
    <w:basedOn w:val="DefaultParagraphFont"/>
    <w:rsid w:val="007240DD"/>
  </w:style>
  <w:style w:type="character" w:styleId="Emphasis">
    <w:name w:val="Emphasis"/>
    <w:basedOn w:val="DefaultParagraphFont"/>
    <w:uiPriority w:val="20"/>
    <w:qFormat/>
    <w:rsid w:val="007240DD"/>
    <w:rPr>
      <w:i/>
      <w:iCs/>
    </w:rPr>
  </w:style>
  <w:style w:type="character" w:styleId="Strong">
    <w:name w:val="Strong"/>
    <w:basedOn w:val="DefaultParagraphFont"/>
    <w:uiPriority w:val="22"/>
    <w:qFormat/>
    <w:rsid w:val="00724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0g3m8.mjt.lu/lnk/AW4AAIu3qfUAAAAAAAAAArgQY4kAAYCsaRQAAAAAAB_ZiwBpZolou2wj0yk_QMiRp9FyHxlXIwAeCp8/2/sCDkFXkaCZhWFXQq5d4zkQ/aHR0cHM6Ly9kaWFtaWRleC5vZG9vLmNvbS9yL1lJSS9tLzgyMzg2M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0g3m8.mjt.lu/lnk/AW4AAIu3qfUAAAAAAAAAArgQY4kAAYCsaRQAAAAAAB_ZiwBpZolou2wj0yk_QMiRp9FyHxlXIwAeCp8/4/LPGwiqqeRS9ebswuQgKPyA/aHR0cHM6Ly9kaWFtaWRleC5vZG9vLmNvbS9yL1hnOC9tLzgyMzg2Mw" TargetMode="External"/><Relationship Id="rId4" Type="http://schemas.openxmlformats.org/officeDocument/2006/relationships/hyperlink" Target="https://0g3m8.mjt.lu/lnk/AW4AAIu3qfUAAAAAAAAAArgQY4kAAYCsaRQAAAAAAB_ZiwBpZolou2wj0yk_QMiRp9FyHxlXIwAeCp8/1/3eogURB9tD8ef00VES_Lyg/aHR0cHM6Ly9kaWFtaWRleC5vZG9vLmNvbS9yL1hnOC9tLzgyMzg2Mw" TargetMode="External"/><Relationship Id="rId9" Type="http://schemas.openxmlformats.org/officeDocument/2006/relationships/hyperlink" Target="https://0g3m8.mjt.lu/lnk/AW4AAIu3qfUAAAAAAAAAArgQY4kAAYCsaRQAAAAAAB_ZiwBpZolou2wj0yk_QMiRp9FyHxlXIwAeCp8/3/-sgKeXzM8de_y_P-Z70YCQ/aHR0cHM6Ly9kaWFtaWRleC5vZG9vLmNvbS9yL1BtTy9tLzgyMzg2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394</Words>
  <Characters>2209</Characters>
  <Application>Microsoft Office Word</Application>
  <DocSecurity>0</DocSecurity>
  <Lines>105</Lines>
  <Paragraphs>50</Paragraphs>
  <ScaleCrop>false</ScaleCrop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Martin</dc:creator>
  <cp:keywords/>
  <dc:description/>
  <cp:lastModifiedBy>Antonio Martin</cp:lastModifiedBy>
  <cp:revision>1</cp:revision>
  <dcterms:created xsi:type="dcterms:W3CDTF">2026-01-13T21:05:00Z</dcterms:created>
  <dcterms:modified xsi:type="dcterms:W3CDTF">2026-01-13T21:07:00Z</dcterms:modified>
</cp:coreProperties>
</file>